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5A5AD" w14:textId="77777777" w:rsidR="007921C1" w:rsidRDefault="007921C1" w:rsidP="00360830">
      <w:r>
        <w:separator/>
      </w:r>
    </w:p>
  </w:endnote>
  <w:endnote w:type="continuationSeparator" w:id="0">
    <w:p w14:paraId="48E7504E" w14:textId="77777777" w:rsidR="007921C1" w:rsidRDefault="007921C1"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3D5BAD99" w:rsidR="009A6B24" w:rsidRDefault="00392F7C"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DBCD60D" w:rsidR="009A6B24" w:rsidRDefault="00392F7C"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5A59B" w14:textId="77777777" w:rsidR="007921C1" w:rsidRDefault="007921C1" w:rsidP="00360830">
      <w:r>
        <w:separator/>
      </w:r>
    </w:p>
  </w:footnote>
  <w:footnote w:type="continuationSeparator" w:id="0">
    <w:p w14:paraId="4A2EBD16" w14:textId="77777777" w:rsidR="007921C1" w:rsidRDefault="007921C1"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44D9C506"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7F5174">
      <w:rPr>
        <w:sz w:val="24"/>
        <w:szCs w:val="24"/>
      </w:rPr>
      <w:t xml:space="preserve">Areál autobusy Hranečník – </w:t>
    </w:r>
    <w:r w:rsidR="00DE2839">
      <w:rPr>
        <w:sz w:val="24"/>
        <w:szCs w:val="24"/>
      </w:rPr>
      <w:t>Automobilová l</w:t>
    </w:r>
    <w:r w:rsidR="007F5174">
      <w:rPr>
        <w:sz w:val="24"/>
        <w:szCs w:val="24"/>
      </w:rPr>
      <w:t xml:space="preserve">akovací </w:t>
    </w:r>
    <w:r w:rsidR="00DE2839">
      <w:rPr>
        <w:sz w:val="24"/>
        <w:szCs w:val="24"/>
      </w:rPr>
      <w:t xml:space="preserve">a sušící </w:t>
    </w:r>
    <w:r w:rsidR="007F5174">
      <w:rPr>
        <w:sz w:val="24"/>
        <w:szCs w:val="24"/>
      </w:rPr>
      <w:t>kabina</w:t>
    </w:r>
    <w:r w:rsidR="00642C27" w:rsidRPr="00642C27">
      <w:rPr>
        <w:sz w:val="24"/>
        <w:szCs w:val="24"/>
      </w:rPr>
      <w:t>“</w:t>
    </w:r>
  </w:p>
  <w:p w14:paraId="33EC368F" w14:textId="6C0DDF56"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3E279A" w:rsidRPr="003E279A">
      <w:rPr>
        <w:sz w:val="20"/>
        <w:szCs w:val="20"/>
      </w:rPr>
      <w:t xml:space="preserve"> </w:t>
    </w:r>
    <w:r w:rsidR="00972845" w:rsidRPr="00972845">
      <w:rPr>
        <w:sz w:val="20"/>
        <w:szCs w:val="20"/>
      </w:rPr>
      <w:t>DOD20211743</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3C6E97AB"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7F5174">
      <w:t xml:space="preserve">Areál autobusy Hranečník – </w:t>
    </w:r>
    <w:r w:rsidR="00DE2839">
      <w:t>Automobilová l</w:t>
    </w:r>
    <w:r w:rsidR="007F5174">
      <w:t xml:space="preserve">akovací </w:t>
    </w:r>
    <w:r w:rsidR="00DE2839">
      <w:t xml:space="preserve">a sušící </w:t>
    </w:r>
    <w:r w:rsidR="007F5174">
      <w:t>kabina</w:t>
    </w:r>
    <w:r w:rsidR="00642C27">
      <w:t>“</w:t>
    </w:r>
  </w:p>
  <w:p w14:paraId="21697CCE" w14:textId="510CEFAB"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972845" w:rsidRPr="00972845">
      <w:rPr>
        <w:sz w:val="20"/>
        <w:szCs w:val="20"/>
      </w:rPr>
      <w:t>DOD20211743</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32BA"/>
    <w:rsid w:val="0068199D"/>
    <w:rsid w:val="00695E4E"/>
    <w:rsid w:val="006B6270"/>
    <w:rsid w:val="006C42A6"/>
    <w:rsid w:val="006D163D"/>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DE2839"/>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951EC-AB3C-4907-AD5B-9092197B3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2021-11-08T11:32:00Z</dcterms:created>
  <dcterms:modified xsi:type="dcterms:W3CDTF">2021-11-08T11:32:00Z</dcterms:modified>
</cp:coreProperties>
</file>